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29595" w14:textId="2CAA3309" w:rsidR="001D1EFD" w:rsidRPr="001E0F69" w:rsidRDefault="001D1EFD" w:rsidP="001D1EFD">
      <w:pPr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Roles and responsibilities–stakeholders</w:t>
      </w:r>
    </w:p>
    <w:bookmarkEnd w:id="0"/>
    <w:p w14:paraId="6B3157CF" w14:textId="77777777" w:rsidR="001D1EFD" w:rsidRPr="00233829" w:rsidRDefault="001D1EFD" w:rsidP="001D1EFD">
      <w:pPr>
        <w:pStyle w:val="BodyText"/>
        <w:rPr>
          <w:i/>
        </w:rPr>
      </w:pPr>
      <w:r w:rsidRPr="00233829">
        <w:rPr>
          <w:i/>
        </w:rPr>
        <w:t xml:space="preserve">NB: This table is an example only and has been modified from Section 6.2.6 Forming an outbreak management team </w:t>
      </w:r>
      <w:r w:rsidRPr="00233829">
        <w:rPr>
          <w:rFonts w:cs="Arial"/>
          <w:i/>
          <w:sz w:val="20"/>
          <w:szCs w:val="20"/>
        </w:rPr>
        <w:t>(</w:t>
      </w:r>
      <w:hyperlink r:id="rId7" w:history="1">
        <w:r w:rsidRPr="00233829">
          <w:rPr>
            <w:rStyle w:val="Hyperlink"/>
            <w:rFonts w:cs="Arial"/>
            <w:i/>
            <w:sz w:val="20"/>
            <w:szCs w:val="20"/>
          </w:rPr>
          <w:t>CDNA influenza guidelines 2017</w:t>
        </w:r>
      </w:hyperlink>
      <w:r w:rsidRPr="00233829">
        <w:rPr>
          <w:rFonts w:cs="Arial"/>
          <w:i/>
          <w:sz w:val="20"/>
          <w:szCs w:val="20"/>
        </w:rPr>
        <w:t>)</w:t>
      </w:r>
      <w:r w:rsidRPr="00233829">
        <w:rPr>
          <w:i/>
          <w:sz w:val="20"/>
          <w:szCs w:val="20"/>
        </w:rPr>
        <w:t>.</w:t>
      </w:r>
      <w:r w:rsidRPr="00233829">
        <w:rPr>
          <w:i/>
        </w:rPr>
        <w:t xml:space="preserve"> Review by the facility and stakeholders is 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3"/>
        <w:gridCol w:w="6703"/>
      </w:tblGrid>
      <w:tr w:rsidR="001D1EFD" w14:paraId="2F6A7E5F" w14:textId="77777777" w:rsidTr="00B01B21">
        <w:trPr>
          <w:tblHeader/>
        </w:trPr>
        <w:tc>
          <w:tcPr>
            <w:tcW w:w="2405" w:type="dxa"/>
          </w:tcPr>
          <w:p w14:paraId="5F028281" w14:textId="77777777" w:rsidR="001D1EFD" w:rsidRDefault="001D1EFD" w:rsidP="00B01B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Stakeholders</w:t>
            </w:r>
          </w:p>
        </w:tc>
        <w:tc>
          <w:tcPr>
            <w:tcW w:w="7224" w:type="dxa"/>
          </w:tcPr>
          <w:p w14:paraId="7E5574B0" w14:textId="77777777" w:rsidR="001D1EFD" w:rsidRDefault="001D1EFD" w:rsidP="00B01B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Responsibilities</w:t>
            </w:r>
          </w:p>
        </w:tc>
      </w:tr>
      <w:tr w:rsidR="001D1EFD" w14:paraId="3680200E" w14:textId="77777777" w:rsidTr="00B01B21">
        <w:tc>
          <w:tcPr>
            <w:tcW w:w="2405" w:type="dxa"/>
          </w:tcPr>
          <w:p w14:paraId="237ED4DC" w14:textId="77777777" w:rsidR="001D1EFD" w:rsidRPr="00053D3E" w:rsidRDefault="001D1EFD" w:rsidP="00B01B2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53D3E">
              <w:rPr>
                <w:rFonts w:ascii="Arial" w:hAnsi="Arial" w:cs="Arial"/>
                <w:b/>
                <w:i/>
                <w:sz w:val="20"/>
                <w:szCs w:val="20"/>
              </w:rPr>
              <w:t>(insert facility name)</w:t>
            </w:r>
          </w:p>
        </w:tc>
        <w:tc>
          <w:tcPr>
            <w:tcW w:w="7224" w:type="dxa"/>
          </w:tcPr>
          <w:p w14:paraId="53B8C74D" w14:textId="77777777" w:rsidR="001D1EFD" w:rsidRDefault="001D1EFD" w:rsidP="001D1E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Notify Metro North Public Health Unit (MNPHU) within 24 hours of recognising an outbreak</w:t>
            </w:r>
          </w:p>
          <w:p w14:paraId="72C2A478" w14:textId="77777777" w:rsidR="001D1EFD" w:rsidRDefault="001D1EFD" w:rsidP="001D1E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Liaise with MNPHU daily (or as required), provide an updated line listing daily of resident/staff cases and provide copies of influenza vaccination registers for staff </w:t>
            </w:r>
            <w:r w:rsidRPr="00A008D9">
              <w:rPr>
                <w:rFonts w:ascii="Arial" w:hAnsi="Arial" w:cs="Arial"/>
                <w:sz w:val="20"/>
                <w:szCs w:val="20"/>
              </w:rPr>
              <w:t>and residents</w:t>
            </w:r>
          </w:p>
          <w:p w14:paraId="302C8515" w14:textId="77777777" w:rsidR="001D1EFD" w:rsidRDefault="001D1EFD" w:rsidP="001D1E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 and lead an Outbreak Management Team</w:t>
            </w:r>
            <w:r w:rsidR="004B38D7">
              <w:rPr>
                <w:rFonts w:ascii="Arial" w:hAnsi="Arial" w:cs="Arial"/>
                <w:sz w:val="20"/>
                <w:szCs w:val="20"/>
              </w:rPr>
              <w:t xml:space="preserve"> (OMT)</w:t>
            </w:r>
          </w:p>
          <w:p w14:paraId="36FA4947" w14:textId="77777777" w:rsidR="001D1EFD" w:rsidRDefault="001D1EFD" w:rsidP="001D1E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Notify all stakeholders and maintain regular communications</w:t>
            </w:r>
          </w:p>
          <w:p w14:paraId="3AD9E9AE" w14:textId="77777777" w:rsidR="001D1EFD" w:rsidRDefault="001D1EFD" w:rsidP="001D1E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Limit visitors to ill residents</w:t>
            </w:r>
          </w:p>
          <w:p w14:paraId="54E69D97" w14:textId="77777777" w:rsidR="001D1EFD" w:rsidRDefault="001D1EFD" w:rsidP="001D1E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Administer antiviral medications to residents as prescribed</w:t>
            </w:r>
          </w:p>
          <w:p w14:paraId="2E387A7B" w14:textId="77777777" w:rsidR="00DE0C61" w:rsidRDefault="001D1EFD" w:rsidP="008639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Implement infection control practices that prevent further spread of respiratory diseases transmitted by the droplet and contact routes</w:t>
            </w:r>
            <w:r w:rsidR="00DE0C61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7BF853E" w14:textId="77777777" w:rsidR="00DE0C61" w:rsidRDefault="001D1EFD" w:rsidP="00DE0C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wash/rub hands frequently</w:t>
            </w:r>
          </w:p>
          <w:p w14:paraId="19677D15" w14:textId="77777777" w:rsidR="00DE0C61" w:rsidRDefault="001D1EFD" w:rsidP="00DE0C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Droplet and Contact Precautions</w:t>
            </w:r>
            <w:r w:rsidR="00DE0C61">
              <w:rPr>
                <w:rFonts w:ascii="Arial" w:hAnsi="Arial" w:cs="Arial"/>
                <w:sz w:val="20"/>
                <w:szCs w:val="20"/>
              </w:rPr>
              <w:t xml:space="preserve"> for ill residents</w:t>
            </w:r>
          </w:p>
          <w:p w14:paraId="32365523" w14:textId="77777777" w:rsidR="00DE0C61" w:rsidRDefault="001D1EFD" w:rsidP="00DE0C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appropriate personal protective equipment (PPE)</w:t>
            </w:r>
          </w:p>
          <w:p w14:paraId="696CF6A1" w14:textId="77777777" w:rsidR="00DE0C61" w:rsidRDefault="001D1EFD" w:rsidP="00DE0C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decrease movement of residents and staff within the facility</w:t>
            </w:r>
          </w:p>
          <w:p w14:paraId="143E734E" w14:textId="77777777" w:rsidR="00DE0C61" w:rsidRDefault="001D1EFD" w:rsidP="00DE0C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isolate ill residents</w:t>
            </w:r>
          </w:p>
          <w:p w14:paraId="3ADA31A1" w14:textId="77777777" w:rsidR="00DE0C61" w:rsidRDefault="001D1EFD" w:rsidP="00DE0C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exclude ill staff/ contractors/ families</w:t>
            </w:r>
          </w:p>
          <w:p w14:paraId="5FAED377" w14:textId="77777777" w:rsidR="00DE0C61" w:rsidRDefault="001D1EFD" w:rsidP="00DE0C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postpone communal dining and gatherings</w:t>
            </w:r>
          </w:p>
          <w:p w14:paraId="50F35E3C" w14:textId="77777777" w:rsidR="00DE0C61" w:rsidRDefault="001D1EFD" w:rsidP="00DE0C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increase frequency of environmental cleaning</w:t>
            </w:r>
          </w:p>
          <w:p w14:paraId="2373141E" w14:textId="77777777" w:rsidR="001D1EFD" w:rsidRDefault="001D1EFD" w:rsidP="00DE0C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promote and enable access to influenza vaccine for unvaccinated residents and staff</w:t>
            </w:r>
          </w:p>
          <w:p w14:paraId="10D78118" w14:textId="77777777" w:rsidR="008639DD" w:rsidRPr="008639DD" w:rsidRDefault="008639DD" w:rsidP="008639DD">
            <w:pPr>
              <w:pStyle w:val="ListParagraph"/>
              <w:spacing w:after="0" w:line="240" w:lineRule="auto"/>
              <w:ind w:left="3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EFD" w14:paraId="52300655" w14:textId="77777777" w:rsidTr="00B01B21">
        <w:tc>
          <w:tcPr>
            <w:tcW w:w="2405" w:type="dxa"/>
          </w:tcPr>
          <w:p w14:paraId="6C5A849C" w14:textId="77777777" w:rsidR="001D1EFD" w:rsidRPr="00053D3E" w:rsidRDefault="001D1EFD" w:rsidP="00B01B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3D3E">
              <w:rPr>
                <w:rFonts w:ascii="Arial" w:hAnsi="Arial" w:cs="Arial"/>
                <w:b/>
                <w:sz w:val="20"/>
                <w:szCs w:val="20"/>
              </w:rPr>
              <w:t>General Practitioner/s</w:t>
            </w:r>
          </w:p>
        </w:tc>
        <w:tc>
          <w:tcPr>
            <w:tcW w:w="7224" w:type="dxa"/>
          </w:tcPr>
          <w:p w14:paraId="679E5878" w14:textId="77777777" w:rsidR="001D1EFD" w:rsidRDefault="001D1EFD" w:rsidP="001D1E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5" w:hanging="283"/>
              <w:rPr>
                <w:rFonts w:ascii="Arial" w:hAnsi="Arial" w:cs="Arial"/>
                <w:sz w:val="20"/>
                <w:szCs w:val="20"/>
              </w:rPr>
            </w:pPr>
            <w:r w:rsidRPr="00053D3E">
              <w:rPr>
                <w:rFonts w:ascii="Arial" w:hAnsi="Arial" w:cs="Arial"/>
                <w:sz w:val="20"/>
                <w:szCs w:val="20"/>
              </w:rPr>
              <w:t>Prescribe antiviral medications for residents</w:t>
            </w:r>
          </w:p>
          <w:p w14:paraId="40B4E0EA" w14:textId="77777777" w:rsidR="001D1EFD" w:rsidRDefault="001D1EFD" w:rsidP="008639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influenza vaccinations to unvaccinated residents</w:t>
            </w:r>
          </w:p>
          <w:p w14:paraId="76254B5E" w14:textId="77777777" w:rsidR="00AA37CC" w:rsidRDefault="00AA37CC" w:rsidP="008639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influenza vaccination details for residents are forwarded to the Australian Immunisation Register (AIR)</w:t>
            </w:r>
          </w:p>
          <w:p w14:paraId="0FC9579A" w14:textId="77777777" w:rsidR="000D562F" w:rsidRDefault="00140E64" w:rsidP="008639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Regularly review and c</w:t>
            </w:r>
            <w:r w:rsidR="000D562F">
              <w:rPr>
                <w:rFonts w:ascii="Arial" w:hAnsi="Arial" w:cs="Arial"/>
                <w:sz w:val="20"/>
                <w:szCs w:val="20"/>
              </w:rPr>
              <w:t xml:space="preserve">linically manage </w:t>
            </w:r>
            <w:r w:rsidR="00EF077A">
              <w:rPr>
                <w:rFonts w:ascii="Arial" w:hAnsi="Arial" w:cs="Arial"/>
                <w:sz w:val="20"/>
                <w:szCs w:val="20"/>
              </w:rPr>
              <w:t>ill</w:t>
            </w:r>
            <w:r w:rsidR="000D562F">
              <w:rPr>
                <w:rFonts w:ascii="Arial" w:hAnsi="Arial" w:cs="Arial"/>
                <w:sz w:val="20"/>
                <w:szCs w:val="20"/>
              </w:rPr>
              <w:t xml:space="preserve"> resident</w:t>
            </w:r>
            <w:r w:rsidR="00EF077A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3A326B90" w14:textId="77777777" w:rsidR="00140E64" w:rsidRDefault="00140E64" w:rsidP="008639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Complete pathology request forms for respiratory virus testing</w:t>
            </w:r>
          </w:p>
          <w:p w14:paraId="3B554B21" w14:textId="77777777" w:rsidR="008639DD" w:rsidRPr="008639DD" w:rsidRDefault="008639DD" w:rsidP="008639DD">
            <w:pPr>
              <w:pStyle w:val="ListParagraph"/>
              <w:spacing w:after="0" w:line="240" w:lineRule="auto"/>
              <w:ind w:left="3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EFD" w14:paraId="24B5F7A3" w14:textId="77777777" w:rsidTr="00B01B21">
        <w:tc>
          <w:tcPr>
            <w:tcW w:w="2405" w:type="dxa"/>
          </w:tcPr>
          <w:p w14:paraId="176FC073" w14:textId="77777777" w:rsidR="001D1EFD" w:rsidRPr="00053D3E" w:rsidRDefault="004710BC" w:rsidP="00B01B2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3D3E">
              <w:rPr>
                <w:rFonts w:ascii="Arial" w:hAnsi="Arial" w:cs="Arial"/>
                <w:b/>
                <w:i/>
                <w:sz w:val="20"/>
                <w:szCs w:val="20"/>
              </w:rPr>
              <w:t>(insert facility name)</w:t>
            </w:r>
          </w:p>
        </w:tc>
        <w:tc>
          <w:tcPr>
            <w:tcW w:w="7224" w:type="dxa"/>
          </w:tcPr>
          <w:p w14:paraId="3536BFE3" w14:textId="77777777" w:rsidR="001D1EFD" w:rsidRPr="008639DD" w:rsidRDefault="001D1EFD" w:rsidP="008639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Store, label and dispense antiviral medications as per the </w:t>
            </w:r>
            <w:r w:rsidRPr="00442440">
              <w:rPr>
                <w:rFonts w:ascii="Arial" w:hAnsi="Arial" w:cs="Arial"/>
                <w:i/>
                <w:sz w:val="20"/>
                <w:szCs w:val="20"/>
              </w:rPr>
              <w:t>Health, Drugs and Poisons Regulation 1996</w:t>
            </w:r>
          </w:p>
          <w:p w14:paraId="106C4594" w14:textId="77777777" w:rsidR="008639DD" w:rsidRPr="008639DD" w:rsidRDefault="008639DD" w:rsidP="008639DD">
            <w:pPr>
              <w:pStyle w:val="ListParagraph"/>
              <w:spacing w:after="0" w:line="240" w:lineRule="auto"/>
              <w:ind w:left="3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EFD" w14:paraId="318BF57D" w14:textId="77777777" w:rsidTr="00B01B21">
        <w:tc>
          <w:tcPr>
            <w:tcW w:w="2405" w:type="dxa"/>
          </w:tcPr>
          <w:p w14:paraId="73E9FCE2" w14:textId="77777777" w:rsidR="001D1EFD" w:rsidRPr="00CD166B" w:rsidRDefault="001D1EFD" w:rsidP="00B01B2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D166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(insert </w:t>
            </w:r>
            <w:r w:rsidR="004710BC"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  <w:r w:rsidRPr="00CD166B">
              <w:rPr>
                <w:rFonts w:ascii="Arial" w:hAnsi="Arial" w:cs="Arial"/>
                <w:b/>
                <w:i/>
                <w:sz w:val="20"/>
                <w:szCs w:val="20"/>
              </w:rPr>
              <w:t>athology</w:t>
            </w:r>
            <w:r w:rsidR="004710B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s</w:t>
            </w:r>
            <w:r w:rsidRPr="00CD166B">
              <w:rPr>
                <w:rFonts w:ascii="Arial" w:hAnsi="Arial" w:cs="Arial"/>
                <w:b/>
                <w:i/>
                <w:sz w:val="20"/>
                <w:szCs w:val="20"/>
              </w:rPr>
              <w:t>ervice)</w:t>
            </w:r>
          </w:p>
        </w:tc>
        <w:tc>
          <w:tcPr>
            <w:tcW w:w="7224" w:type="dxa"/>
          </w:tcPr>
          <w:p w14:paraId="72974DAE" w14:textId="77777777" w:rsidR="001D1EFD" w:rsidRPr="008639DD" w:rsidRDefault="001D1EFD" w:rsidP="008639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Collect n</w:t>
            </w:r>
            <w:r w:rsidR="004710BC">
              <w:rPr>
                <w:rFonts w:ascii="Arial" w:hAnsi="Arial" w:cs="Arial"/>
                <w:sz w:val="20"/>
                <w:szCs w:val="20"/>
              </w:rPr>
              <w:t>asopharyngeal</w:t>
            </w:r>
            <w:r>
              <w:rPr>
                <w:rFonts w:ascii="Arial" w:hAnsi="Arial" w:cs="Arial"/>
                <w:sz w:val="20"/>
                <w:szCs w:val="20"/>
              </w:rPr>
              <w:t xml:space="preserve"> or throat swabs from af</w:t>
            </w:r>
            <w:r w:rsidR="00D86E9E">
              <w:rPr>
                <w:rFonts w:ascii="Arial" w:hAnsi="Arial" w:cs="Arial"/>
                <w:sz w:val="20"/>
                <w:szCs w:val="20"/>
              </w:rPr>
              <w:t>fected residents for influenza n</w:t>
            </w:r>
            <w:r>
              <w:rPr>
                <w:rFonts w:ascii="Arial" w:hAnsi="Arial" w:cs="Arial"/>
                <w:sz w:val="20"/>
                <w:szCs w:val="20"/>
              </w:rPr>
              <w:t>ucleic acid test (NAT)/</w:t>
            </w:r>
            <w:r w:rsidR="008639D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Polymerase Chain Reaction (PCR) testing</w:t>
            </w:r>
          </w:p>
        </w:tc>
      </w:tr>
      <w:tr w:rsidR="001D1EFD" w14:paraId="6808D583" w14:textId="77777777" w:rsidTr="00B01B21">
        <w:tc>
          <w:tcPr>
            <w:tcW w:w="2405" w:type="dxa"/>
          </w:tcPr>
          <w:p w14:paraId="615577D4" w14:textId="77777777" w:rsidR="001D1EFD" w:rsidRPr="00053D3E" w:rsidRDefault="001D1EFD" w:rsidP="00B01B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Hospitals </w:t>
            </w:r>
          </w:p>
        </w:tc>
        <w:tc>
          <w:tcPr>
            <w:tcW w:w="7224" w:type="dxa"/>
          </w:tcPr>
          <w:p w14:paraId="26E2DB6E" w14:textId="77777777" w:rsidR="001D1EFD" w:rsidRPr="008639DD" w:rsidRDefault="001D1EFD" w:rsidP="008639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Maintain communications with the facility re: discharge planning</w:t>
            </w:r>
          </w:p>
        </w:tc>
      </w:tr>
      <w:tr w:rsidR="001D1EFD" w14:paraId="0C4868EA" w14:textId="77777777" w:rsidTr="00B01B21">
        <w:tc>
          <w:tcPr>
            <w:tcW w:w="2405" w:type="dxa"/>
          </w:tcPr>
          <w:p w14:paraId="35F3F887" w14:textId="77777777" w:rsidR="001D1EFD" w:rsidRPr="00053D3E" w:rsidRDefault="001D1EFD" w:rsidP="00B01B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Metro North Public Health Unit</w:t>
            </w:r>
          </w:p>
        </w:tc>
        <w:tc>
          <w:tcPr>
            <w:tcW w:w="7224" w:type="dxa"/>
          </w:tcPr>
          <w:p w14:paraId="6B922922" w14:textId="77777777" w:rsidR="001D1EFD" w:rsidRDefault="001D1EFD" w:rsidP="001D1E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infection control advice and resources to assist the outbreak response</w:t>
            </w:r>
          </w:p>
          <w:p w14:paraId="6140F23D" w14:textId="77777777" w:rsidR="001D1EFD" w:rsidRDefault="001D1EFD" w:rsidP="001D1E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Coordinate deployment of antiviral medications</w:t>
            </w:r>
            <w:r w:rsidR="00F96EED">
              <w:rPr>
                <w:rFonts w:ascii="Arial" w:hAnsi="Arial" w:cs="Arial"/>
                <w:sz w:val="20"/>
                <w:szCs w:val="20"/>
              </w:rPr>
              <w:t xml:space="preserve"> for residents</w:t>
            </w:r>
            <w:r>
              <w:rPr>
                <w:rFonts w:ascii="Arial" w:hAnsi="Arial" w:cs="Arial"/>
                <w:sz w:val="20"/>
                <w:szCs w:val="20"/>
              </w:rPr>
              <w:t xml:space="preserve"> to the facility (if indicated)</w:t>
            </w:r>
          </w:p>
          <w:p w14:paraId="1399F5CA" w14:textId="77777777" w:rsidR="001D1EFD" w:rsidRDefault="001D1EFD" w:rsidP="001D1E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onsite infection control advice (if indicated)</w:t>
            </w:r>
          </w:p>
          <w:p w14:paraId="147701E1" w14:textId="77777777" w:rsidR="001D1EFD" w:rsidRDefault="001D1EFD" w:rsidP="008639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Notify Infection </w:t>
            </w:r>
            <w:r w:rsidR="00801D24">
              <w:rPr>
                <w:rFonts w:ascii="Arial" w:hAnsi="Arial" w:cs="Arial"/>
                <w:sz w:val="20"/>
                <w:szCs w:val="20"/>
              </w:rPr>
              <w:t xml:space="preserve">Management and </w:t>
            </w:r>
            <w:r>
              <w:rPr>
                <w:rFonts w:ascii="Arial" w:hAnsi="Arial" w:cs="Arial"/>
                <w:sz w:val="20"/>
                <w:szCs w:val="20"/>
              </w:rPr>
              <w:t>Prevention Services</w:t>
            </w:r>
            <w:r w:rsidR="00525B81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the Patient Access Coordination Hub for Metro North Hospital and Health Services</w:t>
            </w:r>
            <w:r w:rsidR="0066642C">
              <w:rPr>
                <w:rFonts w:ascii="Arial" w:hAnsi="Arial" w:cs="Arial"/>
                <w:sz w:val="20"/>
                <w:szCs w:val="20"/>
              </w:rPr>
              <w:t xml:space="preserve"> and the R</w:t>
            </w:r>
            <w:r w:rsidR="00525B81">
              <w:rPr>
                <w:rFonts w:ascii="Arial" w:hAnsi="Arial" w:cs="Arial"/>
                <w:sz w:val="20"/>
                <w:szCs w:val="20"/>
              </w:rPr>
              <w:t xml:space="preserve">esidential Aged </w:t>
            </w:r>
            <w:r w:rsidR="0066642C">
              <w:rPr>
                <w:rFonts w:ascii="Arial" w:hAnsi="Arial" w:cs="Arial"/>
                <w:sz w:val="20"/>
                <w:szCs w:val="20"/>
              </w:rPr>
              <w:t>Care</w:t>
            </w:r>
            <w:r w:rsidR="00B8325A">
              <w:rPr>
                <w:rFonts w:ascii="Arial" w:hAnsi="Arial" w:cs="Arial"/>
                <w:sz w:val="20"/>
                <w:szCs w:val="20"/>
              </w:rPr>
              <w:t xml:space="preserve"> Dis</w:t>
            </w:r>
            <w:r w:rsidR="0066642C">
              <w:rPr>
                <w:rFonts w:ascii="Arial" w:hAnsi="Arial" w:cs="Arial"/>
                <w:sz w:val="20"/>
                <w:szCs w:val="20"/>
              </w:rPr>
              <w:t xml:space="preserve">trict </w:t>
            </w:r>
            <w:r w:rsidR="00B8325A">
              <w:rPr>
                <w:rFonts w:ascii="Arial" w:hAnsi="Arial" w:cs="Arial"/>
                <w:sz w:val="20"/>
                <w:szCs w:val="20"/>
              </w:rPr>
              <w:t xml:space="preserve">Assessment and </w:t>
            </w:r>
            <w:r w:rsidR="0066642C">
              <w:rPr>
                <w:rFonts w:ascii="Arial" w:hAnsi="Arial" w:cs="Arial"/>
                <w:sz w:val="20"/>
                <w:szCs w:val="20"/>
              </w:rPr>
              <w:t>Referral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325A">
              <w:rPr>
                <w:rFonts w:ascii="Arial" w:hAnsi="Arial" w:cs="Arial"/>
                <w:sz w:val="20"/>
                <w:szCs w:val="20"/>
              </w:rPr>
              <w:t xml:space="preserve">(RADAR) </w:t>
            </w:r>
            <w:r>
              <w:rPr>
                <w:rFonts w:ascii="Arial" w:hAnsi="Arial" w:cs="Arial"/>
                <w:sz w:val="20"/>
                <w:szCs w:val="20"/>
              </w:rPr>
              <w:t>when the outbreak is notified by the facility and when it is declared over.</w:t>
            </w:r>
          </w:p>
          <w:p w14:paraId="348FD0C2" w14:textId="77777777" w:rsidR="008639DD" w:rsidRPr="008639DD" w:rsidRDefault="008639DD" w:rsidP="008639DD">
            <w:pPr>
              <w:pStyle w:val="ListParagraph"/>
              <w:spacing w:after="0" w:line="240" w:lineRule="auto"/>
              <w:ind w:left="3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1EFD" w14:paraId="485AD739" w14:textId="77777777" w:rsidTr="00B01B21">
        <w:tc>
          <w:tcPr>
            <w:tcW w:w="2405" w:type="dxa"/>
          </w:tcPr>
          <w:p w14:paraId="50ED8298" w14:textId="77777777" w:rsidR="001D1EFD" w:rsidRPr="00053D3E" w:rsidRDefault="001D1EFD" w:rsidP="00B01B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Families</w:t>
            </w:r>
          </w:p>
        </w:tc>
        <w:tc>
          <w:tcPr>
            <w:tcW w:w="7224" w:type="dxa"/>
          </w:tcPr>
          <w:p w14:paraId="42B7D3CA" w14:textId="77777777" w:rsidR="001D1EFD" w:rsidRDefault="001D1EFD" w:rsidP="001D1E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Wash hands regularly or use alcohol-based hand rub</w:t>
            </w:r>
          </w:p>
          <w:p w14:paraId="2144CCAB" w14:textId="77777777" w:rsidR="001D1EFD" w:rsidRDefault="001D1EFD" w:rsidP="001D1E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Implement Droplet and Contact Precautions if visiting an ill resident is essential</w:t>
            </w:r>
          </w:p>
          <w:p w14:paraId="676C7F41" w14:textId="77777777" w:rsidR="001D1EFD" w:rsidRPr="001D1EFD" w:rsidRDefault="001D1EFD" w:rsidP="001D1E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5" w:hanging="28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Avoid visiting the facility if unwell with a respiratory illness</w:t>
            </w:r>
          </w:p>
        </w:tc>
      </w:tr>
      <w:tr w:rsidR="00766205" w14:paraId="0D2E4119" w14:textId="77777777" w:rsidTr="00B01B21">
        <w:tc>
          <w:tcPr>
            <w:tcW w:w="2405" w:type="dxa"/>
          </w:tcPr>
          <w:p w14:paraId="5FFF9426" w14:textId="77777777" w:rsidR="00766205" w:rsidRPr="00766205" w:rsidRDefault="00766205" w:rsidP="00B01B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Residential Aged Care District Assessment and Referral Team (RADAR)</w:t>
            </w:r>
          </w:p>
        </w:tc>
        <w:tc>
          <w:tcPr>
            <w:tcW w:w="7224" w:type="dxa"/>
          </w:tcPr>
          <w:p w14:paraId="6AE36BF7" w14:textId="77777777" w:rsidR="00766205" w:rsidRPr="00766205" w:rsidRDefault="00766205" w:rsidP="001D1E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5" w:hanging="283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clinical management advice for ill residents to avoid unnecessary transfer to hospital</w:t>
            </w:r>
          </w:p>
          <w:p w14:paraId="31B1CDBB" w14:textId="77777777" w:rsidR="00766205" w:rsidRPr="00111755" w:rsidRDefault="00766205" w:rsidP="001D1E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5" w:hanging="283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outreach clinical care to ill residents at the facility</w:t>
            </w:r>
          </w:p>
        </w:tc>
      </w:tr>
      <w:tr w:rsidR="001D1EFD" w14:paraId="2E6EA765" w14:textId="77777777" w:rsidTr="00B01B21">
        <w:tc>
          <w:tcPr>
            <w:tcW w:w="2405" w:type="dxa"/>
          </w:tcPr>
          <w:p w14:paraId="42841E78" w14:textId="77777777" w:rsidR="001D1EFD" w:rsidRPr="00111755" w:rsidRDefault="001D1EFD" w:rsidP="00B01B21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11755">
              <w:rPr>
                <w:rFonts w:ascii="Arial" w:hAnsi="Arial" w:cs="Arial"/>
                <w:b/>
                <w:i/>
                <w:sz w:val="20"/>
                <w:szCs w:val="20"/>
              </w:rPr>
              <w:t>(insert additional stakeholder/s as required)</w:t>
            </w:r>
          </w:p>
        </w:tc>
        <w:tc>
          <w:tcPr>
            <w:tcW w:w="7224" w:type="dxa"/>
          </w:tcPr>
          <w:p w14:paraId="6191B8E2" w14:textId="77777777" w:rsidR="001D1EFD" w:rsidRPr="00111755" w:rsidRDefault="001D1EFD" w:rsidP="001D1E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15" w:hanging="283"/>
              <w:rPr>
                <w:rFonts w:ascii="Arial" w:hAnsi="Arial" w:cs="Arial"/>
                <w:i/>
                <w:sz w:val="20"/>
                <w:szCs w:val="20"/>
              </w:rPr>
            </w:pPr>
            <w:r w:rsidRPr="00111755">
              <w:rPr>
                <w:rFonts w:ascii="Arial" w:hAnsi="Arial" w:cs="Arial"/>
                <w:i/>
                <w:sz w:val="20"/>
                <w:szCs w:val="20"/>
              </w:rPr>
              <w:t>(insert agreed responsibilities)</w:t>
            </w:r>
          </w:p>
        </w:tc>
      </w:tr>
    </w:tbl>
    <w:p w14:paraId="661899BE" w14:textId="77777777" w:rsidR="001D1EFD" w:rsidRDefault="001D1EFD"/>
    <w:sectPr w:rsidR="001D1EF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6AE6BF" w14:textId="77777777" w:rsidR="001D1EFD" w:rsidRDefault="001D1EFD" w:rsidP="001D1EFD">
      <w:pPr>
        <w:spacing w:after="0" w:line="240" w:lineRule="auto"/>
      </w:pPr>
      <w:r>
        <w:separator/>
      </w:r>
    </w:p>
  </w:endnote>
  <w:endnote w:type="continuationSeparator" w:id="0">
    <w:p w14:paraId="2523044E" w14:textId="77777777" w:rsidR="001D1EFD" w:rsidRDefault="001D1EFD" w:rsidP="001D1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701395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7288F694" w14:textId="77777777" w:rsidR="001D1EFD" w:rsidRPr="001D1EFD" w:rsidRDefault="001D1EFD">
        <w:pPr>
          <w:pStyle w:val="Footer"/>
          <w:jc w:val="right"/>
          <w:rPr>
            <w:rFonts w:ascii="Arial" w:hAnsi="Arial" w:cs="Arial"/>
            <w:sz w:val="20"/>
            <w:szCs w:val="20"/>
          </w:rPr>
        </w:pPr>
        <w:r w:rsidRPr="001D1EFD">
          <w:rPr>
            <w:rFonts w:ascii="Arial" w:hAnsi="Arial" w:cs="Arial"/>
            <w:sz w:val="20"/>
            <w:szCs w:val="20"/>
          </w:rPr>
          <w:fldChar w:fldCharType="begin"/>
        </w:r>
        <w:r w:rsidRPr="001D1EFD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D1EFD">
          <w:rPr>
            <w:rFonts w:ascii="Arial" w:hAnsi="Arial" w:cs="Arial"/>
            <w:sz w:val="20"/>
            <w:szCs w:val="20"/>
          </w:rPr>
          <w:fldChar w:fldCharType="separate"/>
        </w:r>
        <w:r w:rsidR="00700E59">
          <w:rPr>
            <w:rFonts w:ascii="Arial" w:hAnsi="Arial" w:cs="Arial"/>
            <w:noProof/>
            <w:sz w:val="20"/>
            <w:szCs w:val="20"/>
          </w:rPr>
          <w:t>2</w:t>
        </w:r>
        <w:r w:rsidRPr="001D1EFD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0B688467" w14:textId="77777777" w:rsidR="001D1EFD" w:rsidRDefault="001D1E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AC27FA" w14:textId="77777777" w:rsidR="001D1EFD" w:rsidRDefault="001D1EFD" w:rsidP="001D1EFD">
      <w:pPr>
        <w:spacing w:after="0" w:line="240" w:lineRule="auto"/>
      </w:pPr>
      <w:r>
        <w:separator/>
      </w:r>
    </w:p>
  </w:footnote>
  <w:footnote w:type="continuationSeparator" w:id="0">
    <w:p w14:paraId="3E868361" w14:textId="77777777" w:rsidR="001D1EFD" w:rsidRDefault="001D1EFD" w:rsidP="001D1E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C6EC7"/>
    <w:multiLevelType w:val="hybridMultilevel"/>
    <w:tmpl w:val="41F272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03DE7"/>
    <w:multiLevelType w:val="hybridMultilevel"/>
    <w:tmpl w:val="2A86B91C"/>
    <w:lvl w:ilvl="0" w:tplc="F08833AE">
      <w:numFmt w:val="bullet"/>
      <w:lvlText w:val="-"/>
      <w:lvlJc w:val="left"/>
      <w:pPr>
        <w:ind w:left="675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EFD"/>
    <w:rsid w:val="00067869"/>
    <w:rsid w:val="000D562F"/>
    <w:rsid w:val="00140E64"/>
    <w:rsid w:val="001D1EFD"/>
    <w:rsid w:val="004710BC"/>
    <w:rsid w:val="004B38D7"/>
    <w:rsid w:val="00525B81"/>
    <w:rsid w:val="0066642C"/>
    <w:rsid w:val="00681436"/>
    <w:rsid w:val="00700E59"/>
    <w:rsid w:val="00766205"/>
    <w:rsid w:val="00801D24"/>
    <w:rsid w:val="008639DD"/>
    <w:rsid w:val="00A008D9"/>
    <w:rsid w:val="00AA37CC"/>
    <w:rsid w:val="00B8325A"/>
    <w:rsid w:val="00D86E9E"/>
    <w:rsid w:val="00DE0C61"/>
    <w:rsid w:val="00EF077A"/>
    <w:rsid w:val="00F9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D5BDB"/>
  <w15:chartTrackingRefBased/>
  <w15:docId w15:val="{21BE603E-C5FB-4EAF-B9FA-8A43AEA3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1E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E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1EFD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1D1EFD"/>
    <w:pPr>
      <w:spacing w:before="120" w:after="120"/>
    </w:pPr>
    <w:rPr>
      <w:rFonts w:ascii="Arial" w:eastAsia="Times New Roman" w:hAnsi="Arial" w:cs="Times New Roman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1D1EFD"/>
    <w:rPr>
      <w:rFonts w:ascii="Arial" w:eastAsia="Times New Roman" w:hAnsi="Arial" w:cs="Times New Roman"/>
      <w:szCs w:val="24"/>
      <w:lang w:eastAsia="en-AU"/>
    </w:rPr>
  </w:style>
  <w:style w:type="table" w:styleId="TableGrid">
    <w:name w:val="Table Grid"/>
    <w:basedOn w:val="TableNormal"/>
    <w:uiPriority w:val="59"/>
    <w:rsid w:val="001D1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1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EFD"/>
  </w:style>
  <w:style w:type="paragraph" w:styleId="Footer">
    <w:name w:val="footer"/>
    <w:basedOn w:val="Normal"/>
    <w:link w:val="FooterChar"/>
    <w:uiPriority w:val="99"/>
    <w:unhideWhenUsed/>
    <w:rsid w:val="001D1E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health.gov.au/internet/main/publishing.nsf/Content/27BE697A7FBF5AB5CA257BF0001D3AC8/$File/RCF_Guidelin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Roles and responsibilities–stakeholders</dc:title>
  <dc:subject/>
  <dc:creator>Kim Langfeldt</dc:creator>
  <cp:keywords>Roles and responsibilities–stakeholders</cp:keywords>
  <dc:description>Roles and responsibilities–stakeholders</dc:description>
  <cp:lastModifiedBy>Jo-Anne Sullivan</cp:lastModifiedBy>
  <cp:revision>18</cp:revision>
  <dcterms:created xsi:type="dcterms:W3CDTF">2018-05-17T03:55:00Z</dcterms:created>
  <dcterms:modified xsi:type="dcterms:W3CDTF">2020-03-13T03:24:00Z</dcterms:modified>
</cp:coreProperties>
</file>